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C1" w:rsidRDefault="00507CAC" w:rsidP="00DE1B7B">
      <w:pPr>
        <w:ind w:left="-851" w:right="-926"/>
        <w:rPr>
          <w:i/>
          <w:color w:val="000000" w:themeColor="text1"/>
          <w:lang w:eastAsia="en-AU"/>
        </w:rPr>
      </w:pPr>
      <w:r w:rsidRPr="00507CAC">
        <w:rPr>
          <w:i/>
          <w:color w:val="000000" w:themeColor="text1"/>
          <w:lang w:eastAsia="en-AU"/>
        </w:rPr>
        <w:t>This Action Plan has been separated into sec</w:t>
      </w:r>
      <w:r>
        <w:rPr>
          <w:i/>
          <w:color w:val="000000" w:themeColor="text1"/>
          <w:lang w:eastAsia="en-AU"/>
        </w:rPr>
        <w:t xml:space="preserve">tions based on the </w:t>
      </w:r>
      <w:r w:rsidR="0089468A">
        <w:rPr>
          <w:i/>
          <w:color w:val="000000" w:themeColor="text1"/>
          <w:lang w:eastAsia="en-AU"/>
        </w:rPr>
        <w:t xml:space="preserve">Moira </w:t>
      </w:r>
      <w:r>
        <w:rPr>
          <w:i/>
          <w:color w:val="000000" w:themeColor="text1"/>
          <w:lang w:eastAsia="en-AU"/>
        </w:rPr>
        <w:t>Creative</w:t>
      </w:r>
      <w:r w:rsidR="0089468A">
        <w:rPr>
          <w:i/>
          <w:color w:val="000000" w:themeColor="text1"/>
          <w:lang w:eastAsia="en-AU"/>
        </w:rPr>
        <w:t xml:space="preserve"> Arts</w:t>
      </w:r>
      <w:r>
        <w:rPr>
          <w:i/>
          <w:color w:val="000000" w:themeColor="text1"/>
          <w:lang w:eastAsia="en-AU"/>
        </w:rPr>
        <w:t xml:space="preserve"> Hub </w:t>
      </w:r>
      <w:r w:rsidR="0089468A">
        <w:rPr>
          <w:i/>
          <w:color w:val="000000" w:themeColor="text1"/>
          <w:lang w:eastAsia="en-AU"/>
        </w:rPr>
        <w:t xml:space="preserve">Aims </w:t>
      </w:r>
      <w:r w:rsidRPr="00507CAC">
        <w:rPr>
          <w:i/>
          <w:color w:val="000000" w:themeColor="text1"/>
          <w:lang w:eastAsia="en-AU"/>
        </w:rPr>
        <w:t xml:space="preserve">that are listed in the </w:t>
      </w:r>
      <w:r w:rsidR="0089468A">
        <w:rPr>
          <w:i/>
          <w:color w:val="000000" w:themeColor="text1"/>
          <w:lang w:eastAsia="en-AU"/>
        </w:rPr>
        <w:t>Moira Creative Arts Hubs A</w:t>
      </w:r>
      <w:r>
        <w:rPr>
          <w:i/>
          <w:color w:val="000000" w:themeColor="text1"/>
          <w:lang w:eastAsia="en-AU"/>
        </w:rPr>
        <w:t>pplication G</w:t>
      </w:r>
      <w:r w:rsidRPr="00507CAC">
        <w:rPr>
          <w:i/>
          <w:color w:val="000000" w:themeColor="text1"/>
          <w:lang w:eastAsia="en-AU"/>
        </w:rPr>
        <w:t>uidelines</w:t>
      </w:r>
      <w:r w:rsidR="003B4ACF">
        <w:rPr>
          <w:i/>
          <w:color w:val="000000" w:themeColor="text1"/>
          <w:lang w:eastAsia="en-AU"/>
        </w:rPr>
        <w:t xml:space="preserve"> and listed in the Assessment Criteria in Fig. 1.1 below</w:t>
      </w:r>
      <w:r w:rsidRPr="00507CAC">
        <w:rPr>
          <w:i/>
          <w:color w:val="000000" w:themeColor="text1"/>
          <w:lang w:eastAsia="en-AU"/>
        </w:rPr>
        <w:t>. Each of your Actions</w:t>
      </w:r>
      <w:r w:rsidR="0089468A">
        <w:rPr>
          <w:i/>
          <w:color w:val="000000" w:themeColor="text1"/>
          <w:lang w:eastAsia="en-AU"/>
        </w:rPr>
        <w:t xml:space="preserve"> should be listed under the aim</w:t>
      </w:r>
      <w:r>
        <w:rPr>
          <w:i/>
          <w:color w:val="000000" w:themeColor="text1"/>
          <w:lang w:eastAsia="en-AU"/>
        </w:rPr>
        <w:t xml:space="preserve"> which is most relevant. Each aim</w:t>
      </w:r>
      <w:r w:rsidRPr="00507CAC">
        <w:rPr>
          <w:i/>
          <w:color w:val="000000" w:themeColor="text1"/>
          <w:lang w:eastAsia="en-AU"/>
        </w:rPr>
        <w:t xml:space="preserve"> can have a number of a</w:t>
      </w:r>
      <w:r>
        <w:rPr>
          <w:i/>
          <w:color w:val="000000" w:themeColor="text1"/>
          <w:lang w:eastAsia="en-AU"/>
        </w:rPr>
        <w:t>ctions listed whilst some aims</w:t>
      </w:r>
      <w:r w:rsidRPr="00507CAC">
        <w:rPr>
          <w:i/>
          <w:color w:val="000000" w:themeColor="text1"/>
          <w:lang w:eastAsia="en-AU"/>
        </w:rPr>
        <w:t xml:space="preserve"> may not have</w:t>
      </w:r>
      <w:r w:rsidR="0089468A">
        <w:rPr>
          <w:i/>
          <w:color w:val="000000" w:themeColor="text1"/>
          <w:lang w:eastAsia="en-AU"/>
        </w:rPr>
        <w:t xml:space="preserve"> any Actions allocated in Year 1</w:t>
      </w:r>
      <w:r w:rsidR="003B4ACF">
        <w:rPr>
          <w:i/>
          <w:color w:val="000000" w:themeColor="text1"/>
          <w:lang w:eastAsia="en-AU"/>
        </w:rPr>
        <w:t xml:space="preserve">, but will have Actions allocated in Years 2 and/or 3. </w:t>
      </w:r>
      <w:r w:rsidRPr="00507CAC">
        <w:rPr>
          <w:i/>
          <w:color w:val="000000" w:themeColor="text1"/>
          <w:lang w:eastAsia="en-AU"/>
        </w:rPr>
        <w:t xml:space="preserve">It is planned that </w:t>
      </w:r>
      <w:r>
        <w:rPr>
          <w:i/>
          <w:color w:val="000000" w:themeColor="text1"/>
          <w:lang w:eastAsia="en-AU"/>
        </w:rPr>
        <w:t>t</w:t>
      </w:r>
      <w:r w:rsidRPr="00507CAC">
        <w:rPr>
          <w:i/>
          <w:color w:val="000000" w:themeColor="text1"/>
          <w:lang w:eastAsia="en-AU"/>
        </w:rPr>
        <w:t xml:space="preserve">he Progress section of the Action Plan </w:t>
      </w:r>
      <w:r w:rsidR="007F10FF">
        <w:rPr>
          <w:i/>
          <w:color w:val="000000" w:themeColor="text1"/>
          <w:lang w:eastAsia="en-AU"/>
        </w:rPr>
        <w:t>will be updated throughout the y</w:t>
      </w:r>
      <w:r w:rsidRPr="00507CAC">
        <w:rPr>
          <w:i/>
          <w:color w:val="000000" w:themeColor="text1"/>
          <w:lang w:eastAsia="en-AU"/>
        </w:rPr>
        <w:t xml:space="preserve">ear. </w:t>
      </w:r>
      <w:r w:rsidR="00C543CC">
        <w:rPr>
          <w:i/>
          <w:color w:val="000000" w:themeColor="text1"/>
          <w:lang w:eastAsia="en-AU"/>
        </w:rPr>
        <w:t>Your annual acquittal of funds will relate directly to this Action Plan and you will be required to provide invoices and receipts for costs associated with your Action Plan delivery.</w:t>
      </w:r>
    </w:p>
    <w:p w:rsidR="003B4ACF" w:rsidRDefault="003B4ACF" w:rsidP="00DE1B7B">
      <w:pPr>
        <w:ind w:left="-851" w:right="-926"/>
        <w:rPr>
          <w:b/>
          <w:color w:val="000000" w:themeColor="text1"/>
          <w:sz w:val="24"/>
          <w:lang w:eastAsia="en-AU"/>
        </w:rPr>
      </w:pPr>
    </w:p>
    <w:p w:rsidR="003B4ACF" w:rsidRPr="003B4ACF" w:rsidRDefault="003B4ACF" w:rsidP="00DE1B7B">
      <w:pPr>
        <w:ind w:left="-851" w:right="-926"/>
        <w:rPr>
          <w:b/>
          <w:color w:val="000000" w:themeColor="text1"/>
          <w:sz w:val="24"/>
          <w:lang w:eastAsia="en-AU"/>
        </w:rPr>
      </w:pPr>
      <w:r w:rsidRPr="003B4ACF">
        <w:rPr>
          <w:b/>
          <w:color w:val="000000" w:themeColor="text1"/>
          <w:sz w:val="24"/>
          <w:lang w:eastAsia="en-AU"/>
        </w:rPr>
        <w:t>FIGURE 1.1 ASSESSMENT CRITERIA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701"/>
        <w:gridCol w:w="9498"/>
        <w:gridCol w:w="4394"/>
      </w:tblGrid>
      <w:tr w:rsidR="003B4ACF" w:rsidTr="00DE1B7B">
        <w:trPr>
          <w:trHeight w:val="694"/>
        </w:trPr>
        <w:tc>
          <w:tcPr>
            <w:tcW w:w="11199" w:type="dxa"/>
            <w:gridSpan w:val="2"/>
            <w:vAlign w:val="center"/>
          </w:tcPr>
          <w:p w:rsidR="003B4ACF" w:rsidRPr="00CD032B" w:rsidRDefault="003B4ACF" w:rsidP="00DE1B7B">
            <w:pPr>
              <w:spacing w:before="240"/>
              <w:rPr>
                <w:rFonts w:ascii="Arial" w:eastAsia="Times New Roman" w:hAnsi="Arial" w:cs="Arial"/>
                <w:b/>
                <w:sz w:val="24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GB" w:eastAsia="en-GB"/>
              </w:rPr>
              <w:t>Moira Creative Arts Hubs Aims</w:t>
            </w:r>
          </w:p>
        </w:tc>
        <w:tc>
          <w:tcPr>
            <w:tcW w:w="4394" w:type="dxa"/>
            <w:vAlign w:val="center"/>
          </w:tcPr>
          <w:p w:rsidR="003B4ACF" w:rsidRDefault="003B4ACF" w:rsidP="00DE1B7B">
            <w:pPr>
              <w:spacing w:before="240"/>
              <w:ind w:left="37"/>
              <w:rPr>
                <w:rFonts w:ascii="Arial" w:eastAsia="Times New Roman" w:hAnsi="Arial" w:cs="Arial"/>
                <w:b/>
                <w:sz w:val="24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4"/>
                <w:szCs w:val="20"/>
                <w:lang w:val="en-GB" w:eastAsia="en-GB"/>
              </w:rPr>
              <w:t>Moira Creative Arts Hub applicant demonstrates</w:t>
            </w:r>
          </w:p>
          <w:p w:rsidR="003B4ACF" w:rsidRPr="00CD032B" w:rsidRDefault="003B4ACF" w:rsidP="00DE1B7B">
            <w:pPr>
              <w:spacing w:before="240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3B4ACF" w:rsidTr="00DE1B7B">
        <w:tc>
          <w:tcPr>
            <w:tcW w:w="1701" w:type="dxa"/>
          </w:tcPr>
          <w:p w:rsidR="003B4ACF" w:rsidRPr="00CD032B" w:rsidRDefault="003B4ACF" w:rsidP="00DE1B7B">
            <w:pPr>
              <w:spacing w:before="240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498" w:type="dxa"/>
          </w:tcPr>
          <w:p w:rsidR="003B4ACF" w:rsidRDefault="003B4ACF" w:rsidP="00DE1B7B">
            <w:pPr>
              <w:spacing w:before="240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Develop inclusive programs and activities valuing the culture of First Nations Peoples and support First Nations artists through engagement.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4394" w:type="dxa"/>
            <w:vMerge w:val="restart"/>
            <w:vAlign w:val="center"/>
          </w:tcPr>
          <w:p w:rsidR="003B4ACF" w:rsidRDefault="003B4ACF" w:rsidP="00DE1B7B">
            <w:pPr>
              <w:spacing w:before="240"/>
              <w:ind w:left="3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</w:t>
            </w:r>
            <w:r w:rsidRPr="00BB3BC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xpertise and capacity to successfully manage and evaluate the Creative Hub.</w:t>
            </w:r>
          </w:p>
          <w:p w:rsidR="003B4ACF" w:rsidRDefault="003B4ACF" w:rsidP="00DE1B7B">
            <w:pPr>
              <w:spacing w:before="240"/>
              <w:ind w:left="3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</w:t>
            </w:r>
            <w:r w:rsidRPr="00BB3BC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xpected outcomes and evaluation methods.</w:t>
            </w:r>
          </w:p>
          <w:p w:rsidR="003B4ACF" w:rsidRDefault="003B4ACF" w:rsidP="00DE1B7B">
            <w:pPr>
              <w:spacing w:before="240"/>
              <w:ind w:left="3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</w:t>
            </w:r>
            <w:r w:rsidRPr="00BB3BC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vidence of the local community needs the Creative Hub will meet and how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</w:p>
          <w:p w:rsidR="003B4ACF" w:rsidRDefault="003B4ACF" w:rsidP="00DE1B7B">
            <w:pPr>
              <w:spacing w:before="240"/>
              <w:ind w:left="3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Who the </w:t>
            </w:r>
            <w:r w:rsidRPr="00BB3BC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primary beneficiaries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are.</w:t>
            </w:r>
          </w:p>
          <w:p w:rsidR="003B4ACF" w:rsidRDefault="003B4ACF" w:rsidP="00DE1B7B">
            <w:pPr>
              <w:spacing w:before="240"/>
              <w:ind w:left="3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</w:t>
            </w:r>
            <w:r w:rsidRPr="00BB3BC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onsideration of sustainability.</w:t>
            </w:r>
          </w:p>
          <w:p w:rsidR="003B4ACF" w:rsidRDefault="003B4ACF" w:rsidP="00DE1B7B">
            <w:pPr>
              <w:spacing w:before="240"/>
              <w:ind w:left="3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</w:t>
            </w:r>
            <w:r w:rsidRPr="00BB3BC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vidence of partners and collaborative relationships.</w:t>
            </w:r>
          </w:p>
          <w:p w:rsidR="000855B0" w:rsidRDefault="000855B0" w:rsidP="00DE1B7B">
            <w:pPr>
              <w:spacing w:before="240"/>
              <w:ind w:left="3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3B4ACF" w:rsidRDefault="003B4ACF" w:rsidP="00DE1B7B">
            <w:pPr>
              <w:spacing w:before="240"/>
              <w:ind w:left="3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O</w:t>
            </w:r>
            <w:r w:rsidRPr="00BB3BC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pportunities to promote accessibility, inclusiveness and/or equity.</w:t>
            </w:r>
          </w:p>
          <w:p w:rsidR="003B4ACF" w:rsidRDefault="003B4ACF" w:rsidP="00DE1B7B">
            <w:pPr>
              <w:spacing w:before="240"/>
              <w:ind w:left="3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The </w:t>
            </w:r>
            <w:r w:rsidRPr="00BB3BC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capacity the Creative Hub has for future growth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</w:p>
        </w:tc>
      </w:tr>
      <w:tr w:rsidR="003B4ACF" w:rsidTr="00DE1B7B">
        <w:tc>
          <w:tcPr>
            <w:tcW w:w="1701" w:type="dxa"/>
          </w:tcPr>
          <w:p w:rsidR="003B4ACF" w:rsidRPr="00CD032B" w:rsidRDefault="003B4ACF" w:rsidP="00DE1B7B">
            <w:pPr>
              <w:spacing w:before="240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498" w:type="dxa"/>
          </w:tcPr>
          <w:p w:rsidR="003B4ACF" w:rsidRDefault="003B4ACF" w:rsidP="00DE1B7B">
            <w:pPr>
              <w:spacing w:before="240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Provide affordable exhibition, studio and intimate performance opportunities to artists and creative practitioners.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4394" w:type="dxa"/>
            <w:vMerge/>
          </w:tcPr>
          <w:p w:rsidR="003B4ACF" w:rsidRDefault="003B4ACF" w:rsidP="00DE1B7B">
            <w:pPr>
              <w:spacing w:before="240"/>
              <w:ind w:left="-85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3B4ACF" w:rsidTr="00DE1B7B">
        <w:tc>
          <w:tcPr>
            <w:tcW w:w="1701" w:type="dxa"/>
          </w:tcPr>
          <w:p w:rsidR="003B4ACF" w:rsidRPr="00CD032B" w:rsidRDefault="003B4ACF" w:rsidP="00DE1B7B">
            <w:pPr>
              <w:spacing w:before="240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498" w:type="dxa"/>
          </w:tcPr>
          <w:p w:rsidR="003B4ACF" w:rsidRDefault="003B4ACF" w:rsidP="00DE1B7B">
            <w:pPr>
              <w:spacing w:before="240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Provide professional development opportunities to build local creative expertise and strengthen artists’ community engagement.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4394" w:type="dxa"/>
            <w:vMerge/>
          </w:tcPr>
          <w:p w:rsidR="003B4ACF" w:rsidRDefault="003B4ACF" w:rsidP="00DE1B7B">
            <w:pPr>
              <w:spacing w:before="240"/>
              <w:ind w:left="-85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3B4ACF" w:rsidTr="00DE1B7B">
        <w:tc>
          <w:tcPr>
            <w:tcW w:w="1701" w:type="dxa"/>
          </w:tcPr>
          <w:p w:rsidR="003B4ACF" w:rsidRPr="00CD032B" w:rsidRDefault="003B4ACF" w:rsidP="00DE1B7B">
            <w:pPr>
              <w:spacing w:before="240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498" w:type="dxa"/>
          </w:tcPr>
          <w:p w:rsidR="003B4ACF" w:rsidRDefault="003B4ACF" w:rsidP="00DE1B7B">
            <w:pPr>
              <w:spacing w:before="240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Build knowledge and understanding of the culturally diverse Moira identity.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4394" w:type="dxa"/>
            <w:vMerge/>
          </w:tcPr>
          <w:p w:rsidR="003B4ACF" w:rsidRDefault="003B4ACF" w:rsidP="00DE1B7B">
            <w:pPr>
              <w:spacing w:before="240"/>
              <w:ind w:left="-85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3B4ACF" w:rsidTr="00DE1B7B">
        <w:tc>
          <w:tcPr>
            <w:tcW w:w="1701" w:type="dxa"/>
          </w:tcPr>
          <w:p w:rsidR="003B4ACF" w:rsidRPr="00CD032B" w:rsidRDefault="003B4ACF" w:rsidP="00DE1B7B">
            <w:pPr>
              <w:spacing w:before="240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498" w:type="dxa"/>
          </w:tcPr>
          <w:p w:rsidR="003B4ACF" w:rsidRDefault="003B4ACF" w:rsidP="00DE1B7B">
            <w:pPr>
              <w:spacing w:before="240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Support youth focused programs.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4394" w:type="dxa"/>
            <w:vMerge/>
          </w:tcPr>
          <w:p w:rsidR="003B4ACF" w:rsidRDefault="003B4ACF" w:rsidP="00DE1B7B">
            <w:pPr>
              <w:spacing w:before="240"/>
              <w:ind w:left="-85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3B4ACF" w:rsidTr="00DE1B7B">
        <w:tc>
          <w:tcPr>
            <w:tcW w:w="1701" w:type="dxa"/>
          </w:tcPr>
          <w:p w:rsidR="003B4ACF" w:rsidRPr="00CD032B" w:rsidRDefault="003B4ACF" w:rsidP="00DE1B7B">
            <w:pPr>
              <w:spacing w:before="240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lastRenderedPageBreak/>
              <w:t>6</w:t>
            </w:r>
          </w:p>
        </w:tc>
        <w:tc>
          <w:tcPr>
            <w:tcW w:w="9498" w:type="dxa"/>
          </w:tcPr>
          <w:p w:rsidR="003B4ACF" w:rsidRDefault="003B4ACF" w:rsidP="00DE1B7B">
            <w:pPr>
              <w:spacing w:before="240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Provide sales opportunities to support local creative economies.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4394" w:type="dxa"/>
            <w:vMerge/>
          </w:tcPr>
          <w:p w:rsidR="003B4ACF" w:rsidRDefault="003B4ACF" w:rsidP="00DE1B7B">
            <w:pPr>
              <w:spacing w:before="240"/>
              <w:ind w:left="-85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3B4ACF" w:rsidTr="00DE1B7B">
        <w:tc>
          <w:tcPr>
            <w:tcW w:w="1701" w:type="dxa"/>
          </w:tcPr>
          <w:p w:rsidR="003B4ACF" w:rsidRPr="00CD032B" w:rsidRDefault="003B4ACF" w:rsidP="00DE1B7B">
            <w:pPr>
              <w:spacing w:before="240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9498" w:type="dxa"/>
          </w:tcPr>
          <w:p w:rsidR="003B4ACF" w:rsidRDefault="003B4ACF" w:rsidP="00DE1B7B">
            <w:pPr>
              <w:spacing w:before="240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Contribute to an arts directory.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4394" w:type="dxa"/>
            <w:vMerge/>
          </w:tcPr>
          <w:p w:rsidR="003B4ACF" w:rsidRDefault="003B4ACF" w:rsidP="00DE1B7B">
            <w:pPr>
              <w:spacing w:before="240"/>
              <w:ind w:left="-85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3B4ACF" w:rsidTr="00DE1B7B">
        <w:tc>
          <w:tcPr>
            <w:tcW w:w="1701" w:type="dxa"/>
          </w:tcPr>
          <w:p w:rsidR="003B4ACF" w:rsidRPr="00CD032B" w:rsidRDefault="003B4ACF" w:rsidP="00DE1B7B">
            <w:pPr>
              <w:spacing w:before="240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9498" w:type="dxa"/>
          </w:tcPr>
          <w:p w:rsidR="003B4ACF" w:rsidRDefault="003B4ACF" w:rsidP="00DE1B7B">
            <w:pPr>
              <w:spacing w:before="240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Engage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with</w:t>
            </w: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communities by ac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tively listening to their changing needs</w:t>
            </w: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and</w:t>
            </w: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expectations.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4394" w:type="dxa"/>
            <w:vMerge/>
          </w:tcPr>
          <w:p w:rsidR="003B4ACF" w:rsidRDefault="003B4ACF" w:rsidP="00DE1B7B">
            <w:pPr>
              <w:spacing w:before="240"/>
              <w:ind w:left="-85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3B4ACF" w:rsidTr="00DE1B7B">
        <w:tc>
          <w:tcPr>
            <w:tcW w:w="1701" w:type="dxa"/>
          </w:tcPr>
          <w:p w:rsidR="003B4ACF" w:rsidRPr="00CD032B" w:rsidRDefault="003B4ACF" w:rsidP="00DE1B7B">
            <w:pPr>
              <w:spacing w:before="240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9498" w:type="dxa"/>
          </w:tcPr>
          <w:p w:rsidR="003B4ACF" w:rsidRDefault="003B4ACF" w:rsidP="00DE1B7B">
            <w:pPr>
              <w:spacing w:before="240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Develop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and deliver </w:t>
            </w: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programs to encourage community interaction.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4394" w:type="dxa"/>
            <w:vMerge/>
          </w:tcPr>
          <w:p w:rsidR="003B4ACF" w:rsidRDefault="003B4ACF" w:rsidP="00DE1B7B">
            <w:pPr>
              <w:spacing w:before="240"/>
              <w:ind w:left="-85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3B4ACF" w:rsidTr="00DE1B7B">
        <w:tc>
          <w:tcPr>
            <w:tcW w:w="1701" w:type="dxa"/>
          </w:tcPr>
          <w:p w:rsidR="003B4ACF" w:rsidRPr="00CD032B" w:rsidRDefault="003B4ACF" w:rsidP="00DE1B7B">
            <w:pPr>
              <w:spacing w:before="240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9498" w:type="dxa"/>
          </w:tcPr>
          <w:p w:rsidR="003B4ACF" w:rsidRDefault="003B4ACF" w:rsidP="00DE1B7B">
            <w:pPr>
              <w:spacing w:before="240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Consider Creative Recovery opportunities when developing programs for local communities</w:t>
            </w: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4394" w:type="dxa"/>
            <w:vMerge/>
          </w:tcPr>
          <w:p w:rsidR="003B4ACF" w:rsidRDefault="003B4ACF" w:rsidP="00DE1B7B">
            <w:pPr>
              <w:spacing w:before="240"/>
              <w:ind w:left="-85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3B4ACF" w:rsidTr="00DE1B7B">
        <w:tc>
          <w:tcPr>
            <w:tcW w:w="1701" w:type="dxa"/>
          </w:tcPr>
          <w:p w:rsidR="003B4ACF" w:rsidRPr="00CD032B" w:rsidRDefault="003B4ACF" w:rsidP="00DE1B7B">
            <w:pPr>
              <w:spacing w:before="240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D032B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9498" w:type="dxa"/>
          </w:tcPr>
          <w:p w:rsidR="003B4ACF" w:rsidRDefault="003B4ACF" w:rsidP="00DE1B7B">
            <w:pPr>
              <w:spacing w:before="240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E3E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Provide broader community and regional visitors’ access to the arts in each local setting.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4394" w:type="dxa"/>
            <w:vMerge/>
          </w:tcPr>
          <w:p w:rsidR="003B4ACF" w:rsidRDefault="003B4ACF" w:rsidP="00DE1B7B">
            <w:pPr>
              <w:spacing w:before="240"/>
              <w:ind w:left="-85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C543CC" w:rsidRDefault="00C543CC" w:rsidP="00DE1B7B">
      <w:pPr>
        <w:ind w:left="-851" w:right="-926"/>
        <w:rPr>
          <w:i/>
          <w:color w:val="000000" w:themeColor="text1"/>
          <w:lang w:eastAsia="en-AU"/>
        </w:rPr>
      </w:pPr>
    </w:p>
    <w:p w:rsidR="00C543CC" w:rsidRPr="00507CAC" w:rsidRDefault="00C543CC" w:rsidP="00DE1B7B">
      <w:pPr>
        <w:ind w:left="-851"/>
        <w:rPr>
          <w:i/>
          <w:color w:val="000000" w:themeColor="text1"/>
          <w:lang w:eastAsia="en-AU"/>
        </w:rPr>
      </w:pPr>
      <w:r>
        <w:rPr>
          <w:i/>
          <w:color w:val="000000" w:themeColor="text1"/>
          <w:lang w:eastAsia="en-AU"/>
        </w:rPr>
        <w:br w:type="page"/>
      </w:r>
    </w:p>
    <w:tbl>
      <w:tblPr>
        <w:tblStyle w:val="TableGrid"/>
        <w:tblW w:w="15720" w:type="dxa"/>
        <w:tblInd w:w="-1139" w:type="dxa"/>
        <w:tblLook w:val="04A0" w:firstRow="1" w:lastRow="0" w:firstColumn="1" w:lastColumn="0" w:noHBand="0" w:noVBand="1"/>
      </w:tblPr>
      <w:tblGrid>
        <w:gridCol w:w="1843"/>
        <w:gridCol w:w="3816"/>
        <w:gridCol w:w="3130"/>
        <w:gridCol w:w="1731"/>
        <w:gridCol w:w="1926"/>
        <w:gridCol w:w="1488"/>
        <w:gridCol w:w="1786"/>
      </w:tblGrid>
      <w:tr w:rsidR="00C543CC" w:rsidRPr="00836384" w:rsidTr="002810BF">
        <w:trPr>
          <w:cantSplit/>
          <w:trHeight w:val="1134"/>
          <w:tblHeader/>
        </w:trPr>
        <w:tc>
          <w:tcPr>
            <w:tcW w:w="1843" w:type="dxa"/>
            <w:shd w:val="clear" w:color="auto" w:fill="1F3864" w:themeFill="accent5" w:themeFillShade="80"/>
            <w:vAlign w:val="center"/>
          </w:tcPr>
          <w:p w:rsidR="00804EEE" w:rsidRPr="00CC0FC1" w:rsidRDefault="00804EEE" w:rsidP="00F6007E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CC0FC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lastRenderedPageBreak/>
              <w:t>CREATIVE HUB AIMS</w:t>
            </w:r>
          </w:p>
        </w:tc>
        <w:tc>
          <w:tcPr>
            <w:tcW w:w="3816" w:type="dxa"/>
            <w:shd w:val="clear" w:color="auto" w:fill="1F3864" w:themeFill="accent5" w:themeFillShade="80"/>
            <w:vAlign w:val="center"/>
          </w:tcPr>
          <w:p w:rsidR="00804EEE" w:rsidRDefault="00804EEE" w:rsidP="00F6007E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YEAR 1 ACTION DESCRIPTIONS</w:t>
            </w:r>
          </w:p>
          <w:p w:rsidR="00804EEE" w:rsidRDefault="00804EEE" w:rsidP="00F6007E">
            <w:pPr>
              <w:textAlignment w:val="baseline"/>
              <w:rPr>
                <w:rFonts w:ascii="Arial" w:eastAsia="Times New Roman" w:hAnsi="Arial" w:cs="Arial"/>
                <w:bCs/>
                <w:color w:val="FFFFFF" w:themeColor="background1"/>
                <w:lang w:eastAsia="en-AU"/>
              </w:rPr>
            </w:pPr>
          </w:p>
          <w:p w:rsidR="00804EEE" w:rsidRDefault="00804EEE" w:rsidP="00F6007E">
            <w:pPr>
              <w:textAlignment w:val="baseline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04EEE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  <w:t>Describe how these actions demonstrate the above criteria detailed in Fig. 1.1</w:t>
            </w:r>
            <w:r w:rsidR="00C543CC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  <w:t xml:space="preserve"> on Page 1</w:t>
            </w:r>
          </w:p>
          <w:p w:rsidR="00804EEE" w:rsidRDefault="00804EEE" w:rsidP="00F6007E">
            <w:pPr>
              <w:textAlignment w:val="baseline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</w:pPr>
          </w:p>
          <w:p w:rsidR="00804EEE" w:rsidRPr="00804EEE" w:rsidRDefault="00804EEE" w:rsidP="00F6007E">
            <w:pPr>
              <w:textAlignment w:val="baseline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04EEE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  <w:t xml:space="preserve">NB - not </w:t>
            </w:r>
            <w:r w:rsidRPr="00804EEE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u w:val="single"/>
                <w:lang w:eastAsia="en-AU"/>
              </w:rPr>
              <w:t>all</w:t>
            </w:r>
            <w:r w:rsidRPr="00804EEE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  <w:t xml:space="preserve"> actions will answer </w:t>
            </w:r>
            <w:r w:rsidRPr="00804EEE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u w:val="single"/>
                <w:lang w:eastAsia="en-AU"/>
              </w:rPr>
              <w:t>all</w:t>
            </w:r>
            <w:r w:rsidRPr="00804EEE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  <w:t xml:space="preserve"> criteria.</w:t>
            </w:r>
          </w:p>
        </w:tc>
        <w:tc>
          <w:tcPr>
            <w:tcW w:w="3130" w:type="dxa"/>
            <w:shd w:val="clear" w:color="auto" w:fill="1F3864" w:themeFill="accent5" w:themeFillShade="80"/>
            <w:vAlign w:val="center"/>
          </w:tcPr>
          <w:p w:rsidR="00804EEE" w:rsidRDefault="00804EEE" w:rsidP="00F6007E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IDENTIFY RISKS AND HOW THEY WILL BE MITIGATED</w:t>
            </w:r>
          </w:p>
          <w:p w:rsidR="00804EEE" w:rsidRDefault="00804EEE" w:rsidP="00F6007E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</w:p>
          <w:p w:rsidR="00804EEE" w:rsidRPr="00804EEE" w:rsidRDefault="00804EEE" w:rsidP="00F6007E">
            <w:pPr>
              <w:textAlignment w:val="baseline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</w:pPr>
            <w:proofErr w:type="spellStart"/>
            <w:r w:rsidRPr="00804EEE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  <w:t>Eg</w:t>
            </w:r>
            <w:proofErr w:type="spellEnd"/>
            <w:r w:rsidRPr="00804EEE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  <w:t>. RISK: Financial risk due to low ticket sales</w:t>
            </w:r>
          </w:p>
          <w:p w:rsidR="00804EEE" w:rsidRPr="00CC0FC1" w:rsidRDefault="00804EEE" w:rsidP="00F6007E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 w:rsidRPr="00804EEE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  <w:t xml:space="preserve">MITIGATION: Follow </w:t>
            </w:r>
            <w:r w:rsidR="00C543CC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  <w:t>a</w:t>
            </w:r>
            <w:r w:rsidRPr="00804EEE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18"/>
                <w:lang w:eastAsia="en-AU"/>
              </w:rPr>
              <w:t xml:space="preserve"> marketing and media plan</w:t>
            </w:r>
          </w:p>
        </w:tc>
        <w:tc>
          <w:tcPr>
            <w:tcW w:w="1731" w:type="dxa"/>
            <w:shd w:val="clear" w:color="auto" w:fill="1F3864" w:themeFill="accent5" w:themeFillShade="80"/>
            <w:vAlign w:val="center"/>
          </w:tcPr>
          <w:p w:rsidR="00804EEE" w:rsidRPr="00804EEE" w:rsidRDefault="00804EEE" w:rsidP="00F6007E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 w:rsidRPr="00CC0FC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HOW WILL DATA BE COLLECTED</w:t>
            </w:r>
          </w:p>
        </w:tc>
        <w:tc>
          <w:tcPr>
            <w:tcW w:w="1926" w:type="dxa"/>
            <w:shd w:val="clear" w:color="auto" w:fill="1F3864" w:themeFill="accent5" w:themeFillShade="80"/>
            <w:vAlign w:val="center"/>
          </w:tcPr>
          <w:p w:rsidR="00804EEE" w:rsidRPr="00CC0FC1" w:rsidRDefault="00804EEE" w:rsidP="00F6007E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CC0FC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HOW WILL  SUCCESS BE MEASURED</w:t>
            </w:r>
          </w:p>
        </w:tc>
        <w:tc>
          <w:tcPr>
            <w:tcW w:w="1488" w:type="dxa"/>
            <w:shd w:val="clear" w:color="auto" w:fill="1F3864" w:themeFill="accent5" w:themeFillShade="80"/>
            <w:vAlign w:val="center"/>
          </w:tcPr>
          <w:p w:rsidR="00804EEE" w:rsidRPr="00CC0FC1" w:rsidRDefault="00804EEE" w:rsidP="00F6007E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 w:rsidRPr="00CC0FC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ESTIMATED COSTS</w:t>
            </w:r>
          </w:p>
        </w:tc>
        <w:tc>
          <w:tcPr>
            <w:tcW w:w="1786" w:type="dxa"/>
            <w:shd w:val="clear" w:color="auto" w:fill="1F3864" w:themeFill="accent5" w:themeFillShade="80"/>
            <w:vAlign w:val="center"/>
          </w:tcPr>
          <w:p w:rsidR="00804EEE" w:rsidRPr="00CC0FC1" w:rsidRDefault="00804EEE" w:rsidP="00F6007E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 w:rsidRPr="00CC0FC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PROGRESS</w:t>
            </w:r>
          </w:p>
        </w:tc>
      </w:tr>
      <w:tr w:rsidR="00C543CC" w:rsidRPr="00836384" w:rsidTr="002810BF">
        <w:trPr>
          <w:cantSplit/>
          <w:trHeight w:val="6619"/>
        </w:trPr>
        <w:tc>
          <w:tcPr>
            <w:tcW w:w="1843" w:type="dxa"/>
            <w:shd w:val="clear" w:color="auto" w:fill="D9D9D9" w:themeFill="background1" w:themeFillShade="D9"/>
          </w:tcPr>
          <w:p w:rsidR="00804EEE" w:rsidRDefault="00804EEE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GB" w:eastAsia="en-GB"/>
              </w:rPr>
              <w:t xml:space="preserve">1. </w:t>
            </w:r>
            <w:r w:rsidRPr="00E675E8">
              <w:rPr>
                <w:rFonts w:ascii="Arial" w:eastAsia="Times New Roman" w:hAnsi="Arial" w:cs="Arial"/>
                <w:szCs w:val="20"/>
                <w:lang w:val="en-GB" w:eastAsia="en-GB"/>
              </w:rPr>
              <w:t>Develop inclusive programs and activities valuing the culture of First Nations Peoples and support First Nations artists through engagement.</w:t>
            </w:r>
          </w:p>
          <w:p w:rsidR="003B4ACF" w:rsidRPr="00E675E8" w:rsidRDefault="003B4ACF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</w:p>
        </w:tc>
        <w:tc>
          <w:tcPr>
            <w:tcW w:w="381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04EEE" w:rsidRPr="00836384" w:rsidRDefault="00804EEE" w:rsidP="00DE1B7B">
            <w:pPr>
              <w:ind w:left="-851"/>
              <w:rPr>
                <w:rFonts w:ascii="Arial" w:hAnsi="Arial" w:cs="Arial"/>
              </w:rPr>
            </w:pPr>
          </w:p>
        </w:tc>
      </w:tr>
      <w:tr w:rsidR="00C543CC" w:rsidRPr="00836384" w:rsidTr="002810BF">
        <w:trPr>
          <w:cantSplit/>
          <w:trHeight w:val="6367"/>
        </w:trPr>
        <w:tc>
          <w:tcPr>
            <w:tcW w:w="1843" w:type="dxa"/>
            <w:shd w:val="clear" w:color="auto" w:fill="D9D9D9" w:themeFill="background1" w:themeFillShade="D9"/>
          </w:tcPr>
          <w:p w:rsidR="00804EEE" w:rsidRPr="00E675E8" w:rsidRDefault="00804EEE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GB" w:eastAsia="en-GB"/>
              </w:rPr>
              <w:lastRenderedPageBreak/>
              <w:t xml:space="preserve">2. </w:t>
            </w:r>
            <w:r w:rsidRPr="00E675E8">
              <w:rPr>
                <w:rFonts w:ascii="Arial" w:eastAsia="Times New Roman" w:hAnsi="Arial" w:cs="Arial"/>
                <w:szCs w:val="20"/>
                <w:lang w:val="en-GB" w:eastAsia="en-GB"/>
              </w:rPr>
              <w:t>Provide affordable exhibition, studio and intimate performance opportunities to artists and creative practitioners.</w:t>
            </w:r>
          </w:p>
        </w:tc>
        <w:tc>
          <w:tcPr>
            <w:tcW w:w="3816" w:type="dxa"/>
            <w:textDirection w:val="tbRl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04EEE" w:rsidRPr="00836384" w:rsidRDefault="00804EEE" w:rsidP="00DE1B7B">
            <w:pPr>
              <w:ind w:left="-851"/>
              <w:rPr>
                <w:rFonts w:ascii="Arial" w:hAnsi="Arial" w:cs="Arial"/>
              </w:rPr>
            </w:pPr>
          </w:p>
        </w:tc>
      </w:tr>
      <w:tr w:rsidR="00C543CC" w:rsidRPr="00836384" w:rsidTr="002810BF">
        <w:trPr>
          <w:cantSplit/>
          <w:trHeight w:val="6619"/>
        </w:trPr>
        <w:tc>
          <w:tcPr>
            <w:tcW w:w="1843" w:type="dxa"/>
            <w:shd w:val="clear" w:color="auto" w:fill="D9D9D9" w:themeFill="background1" w:themeFillShade="D9"/>
          </w:tcPr>
          <w:p w:rsidR="00804EEE" w:rsidRPr="00E675E8" w:rsidRDefault="00804EEE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GB" w:eastAsia="en-GB"/>
              </w:rPr>
              <w:lastRenderedPageBreak/>
              <w:t xml:space="preserve">3. </w:t>
            </w:r>
            <w:r w:rsidRPr="00E675E8">
              <w:rPr>
                <w:rFonts w:ascii="Arial" w:eastAsia="Times New Roman" w:hAnsi="Arial" w:cs="Arial"/>
                <w:szCs w:val="20"/>
                <w:lang w:val="en-GB" w:eastAsia="en-GB"/>
              </w:rPr>
              <w:t>Provide professional development opportunities to build local creative expertise and strengthen artists’ community engagement.</w:t>
            </w:r>
          </w:p>
        </w:tc>
        <w:tc>
          <w:tcPr>
            <w:tcW w:w="381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04EEE" w:rsidRPr="00836384" w:rsidRDefault="00804EEE" w:rsidP="00DE1B7B">
            <w:pPr>
              <w:ind w:left="-851"/>
              <w:rPr>
                <w:rFonts w:ascii="Arial" w:hAnsi="Arial" w:cs="Arial"/>
              </w:rPr>
            </w:pPr>
          </w:p>
        </w:tc>
      </w:tr>
      <w:tr w:rsidR="00C543CC" w:rsidRPr="00836384" w:rsidTr="002810BF">
        <w:trPr>
          <w:cantSplit/>
          <w:trHeight w:val="6619"/>
        </w:trPr>
        <w:tc>
          <w:tcPr>
            <w:tcW w:w="1843" w:type="dxa"/>
            <w:shd w:val="clear" w:color="auto" w:fill="D9D9D9" w:themeFill="background1" w:themeFillShade="D9"/>
          </w:tcPr>
          <w:p w:rsidR="00804EEE" w:rsidRPr="00E675E8" w:rsidRDefault="00804EEE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GB" w:eastAsia="en-GB"/>
              </w:rPr>
              <w:lastRenderedPageBreak/>
              <w:t xml:space="preserve">4. </w:t>
            </w:r>
            <w:r w:rsidRPr="00E675E8">
              <w:rPr>
                <w:rFonts w:ascii="Arial" w:eastAsia="Times New Roman" w:hAnsi="Arial" w:cs="Arial"/>
                <w:szCs w:val="20"/>
                <w:lang w:val="en-GB" w:eastAsia="en-GB"/>
              </w:rPr>
              <w:t>Build knowledge and understanding of the culturally diverse Moira identity.</w:t>
            </w:r>
          </w:p>
        </w:tc>
        <w:tc>
          <w:tcPr>
            <w:tcW w:w="381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04EEE" w:rsidRPr="00836384" w:rsidRDefault="00804EEE" w:rsidP="00DE1B7B">
            <w:pPr>
              <w:ind w:left="-851"/>
              <w:rPr>
                <w:rFonts w:ascii="Arial" w:hAnsi="Arial" w:cs="Arial"/>
              </w:rPr>
            </w:pPr>
          </w:p>
        </w:tc>
      </w:tr>
      <w:tr w:rsidR="00C543CC" w:rsidRPr="00836384" w:rsidTr="002810BF">
        <w:trPr>
          <w:cantSplit/>
          <w:trHeight w:val="6761"/>
        </w:trPr>
        <w:tc>
          <w:tcPr>
            <w:tcW w:w="1843" w:type="dxa"/>
            <w:shd w:val="clear" w:color="auto" w:fill="D9D9D9" w:themeFill="background1" w:themeFillShade="D9"/>
          </w:tcPr>
          <w:p w:rsidR="00804EEE" w:rsidRPr="00E675E8" w:rsidRDefault="00804EEE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GB" w:eastAsia="en-GB"/>
              </w:rPr>
              <w:lastRenderedPageBreak/>
              <w:t xml:space="preserve">5. </w:t>
            </w:r>
            <w:r w:rsidRPr="00E675E8">
              <w:rPr>
                <w:rFonts w:ascii="Arial" w:eastAsia="Times New Roman" w:hAnsi="Arial" w:cs="Arial"/>
                <w:szCs w:val="20"/>
                <w:lang w:val="en-GB" w:eastAsia="en-GB"/>
              </w:rPr>
              <w:t>Support youth focused programs.</w:t>
            </w:r>
          </w:p>
        </w:tc>
        <w:tc>
          <w:tcPr>
            <w:tcW w:w="381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04EEE" w:rsidRPr="00836384" w:rsidRDefault="00804EEE" w:rsidP="00DE1B7B">
            <w:pPr>
              <w:ind w:left="-851"/>
              <w:rPr>
                <w:rFonts w:ascii="Arial" w:hAnsi="Arial" w:cs="Arial"/>
              </w:rPr>
            </w:pPr>
          </w:p>
        </w:tc>
      </w:tr>
      <w:tr w:rsidR="00C543CC" w:rsidRPr="00836384" w:rsidTr="002810BF">
        <w:trPr>
          <w:cantSplit/>
          <w:trHeight w:val="6619"/>
        </w:trPr>
        <w:tc>
          <w:tcPr>
            <w:tcW w:w="1843" w:type="dxa"/>
            <w:shd w:val="clear" w:color="auto" w:fill="D9D9D9" w:themeFill="background1" w:themeFillShade="D9"/>
          </w:tcPr>
          <w:p w:rsidR="00804EEE" w:rsidRPr="00E675E8" w:rsidRDefault="00804EEE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GB" w:eastAsia="en-GB"/>
              </w:rPr>
              <w:lastRenderedPageBreak/>
              <w:t xml:space="preserve">6. </w:t>
            </w:r>
            <w:r w:rsidRPr="00E675E8">
              <w:rPr>
                <w:rFonts w:ascii="Arial" w:eastAsia="Times New Roman" w:hAnsi="Arial" w:cs="Arial"/>
                <w:szCs w:val="20"/>
                <w:lang w:val="en-GB" w:eastAsia="en-GB"/>
              </w:rPr>
              <w:t>Provide sales opportunities to support local creative economies.</w:t>
            </w:r>
          </w:p>
        </w:tc>
        <w:tc>
          <w:tcPr>
            <w:tcW w:w="381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04EEE" w:rsidRPr="00836384" w:rsidRDefault="00804EEE" w:rsidP="00DE1B7B">
            <w:pPr>
              <w:ind w:left="-851"/>
              <w:rPr>
                <w:rFonts w:ascii="Arial" w:hAnsi="Arial" w:cs="Arial"/>
              </w:rPr>
            </w:pPr>
          </w:p>
        </w:tc>
      </w:tr>
      <w:tr w:rsidR="00C543CC" w:rsidRPr="00836384" w:rsidTr="002810BF">
        <w:trPr>
          <w:cantSplit/>
          <w:trHeight w:val="6761"/>
        </w:trPr>
        <w:tc>
          <w:tcPr>
            <w:tcW w:w="1843" w:type="dxa"/>
            <w:shd w:val="clear" w:color="auto" w:fill="D9D9D9" w:themeFill="background1" w:themeFillShade="D9"/>
          </w:tcPr>
          <w:p w:rsidR="00804EEE" w:rsidRPr="00E675E8" w:rsidRDefault="00804EEE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GB" w:eastAsia="en-GB"/>
              </w:rPr>
              <w:lastRenderedPageBreak/>
              <w:t xml:space="preserve">7. </w:t>
            </w:r>
            <w:r w:rsidRPr="00E675E8">
              <w:rPr>
                <w:rFonts w:ascii="Arial" w:eastAsia="Times New Roman" w:hAnsi="Arial" w:cs="Arial"/>
                <w:szCs w:val="20"/>
                <w:lang w:val="en-GB" w:eastAsia="en-GB"/>
              </w:rPr>
              <w:t>Contribute to an arts directory.</w:t>
            </w:r>
          </w:p>
        </w:tc>
        <w:tc>
          <w:tcPr>
            <w:tcW w:w="381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04EEE" w:rsidRPr="00836384" w:rsidRDefault="00804EEE" w:rsidP="00DE1B7B">
            <w:pPr>
              <w:ind w:left="-851"/>
              <w:rPr>
                <w:rFonts w:ascii="Arial" w:hAnsi="Arial" w:cs="Arial"/>
              </w:rPr>
            </w:pPr>
          </w:p>
        </w:tc>
      </w:tr>
      <w:tr w:rsidR="00C543CC" w:rsidRPr="00836384" w:rsidTr="002810BF">
        <w:trPr>
          <w:cantSplit/>
          <w:trHeight w:val="6761"/>
        </w:trPr>
        <w:tc>
          <w:tcPr>
            <w:tcW w:w="1843" w:type="dxa"/>
            <w:shd w:val="clear" w:color="auto" w:fill="D9D9D9" w:themeFill="background1" w:themeFillShade="D9"/>
          </w:tcPr>
          <w:p w:rsidR="00804EEE" w:rsidRPr="00E675E8" w:rsidRDefault="00804EEE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GB" w:eastAsia="en-GB"/>
              </w:rPr>
              <w:lastRenderedPageBreak/>
              <w:t xml:space="preserve">8. </w:t>
            </w:r>
            <w:r w:rsidRPr="00E675E8">
              <w:rPr>
                <w:rFonts w:ascii="Arial" w:eastAsia="Times New Roman" w:hAnsi="Arial" w:cs="Arial"/>
                <w:szCs w:val="20"/>
                <w:lang w:val="en-GB" w:eastAsia="en-GB"/>
              </w:rPr>
              <w:t>Engage with communities by actively listening to their changing needs and expectations.</w:t>
            </w:r>
          </w:p>
        </w:tc>
        <w:tc>
          <w:tcPr>
            <w:tcW w:w="381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04EEE" w:rsidRPr="00836384" w:rsidRDefault="00804EEE" w:rsidP="00DE1B7B">
            <w:pPr>
              <w:ind w:left="-851"/>
              <w:rPr>
                <w:rFonts w:ascii="Arial" w:hAnsi="Arial" w:cs="Arial"/>
              </w:rPr>
            </w:pPr>
          </w:p>
        </w:tc>
      </w:tr>
      <w:tr w:rsidR="00C543CC" w:rsidRPr="00836384" w:rsidTr="002810BF">
        <w:trPr>
          <w:cantSplit/>
          <w:trHeight w:val="6761"/>
        </w:trPr>
        <w:tc>
          <w:tcPr>
            <w:tcW w:w="1843" w:type="dxa"/>
            <w:shd w:val="clear" w:color="auto" w:fill="D9D9D9" w:themeFill="background1" w:themeFillShade="D9"/>
          </w:tcPr>
          <w:p w:rsidR="00804EEE" w:rsidRPr="00E675E8" w:rsidRDefault="00804EEE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GB" w:eastAsia="en-GB"/>
              </w:rPr>
              <w:lastRenderedPageBreak/>
              <w:t xml:space="preserve">9. </w:t>
            </w:r>
            <w:r w:rsidRPr="00E675E8">
              <w:rPr>
                <w:rFonts w:ascii="Arial" w:eastAsia="Times New Roman" w:hAnsi="Arial" w:cs="Arial"/>
                <w:szCs w:val="20"/>
                <w:lang w:val="en-GB" w:eastAsia="en-GB"/>
              </w:rPr>
              <w:t>Develop and deliver programs to encourage community interaction.</w:t>
            </w:r>
          </w:p>
        </w:tc>
        <w:tc>
          <w:tcPr>
            <w:tcW w:w="381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04EEE" w:rsidRPr="00836384" w:rsidRDefault="00804EEE" w:rsidP="00DE1B7B">
            <w:pPr>
              <w:ind w:left="-851"/>
              <w:rPr>
                <w:rFonts w:ascii="Arial" w:hAnsi="Arial" w:cs="Arial"/>
              </w:rPr>
            </w:pPr>
          </w:p>
        </w:tc>
      </w:tr>
      <w:tr w:rsidR="00C543CC" w:rsidRPr="00836384" w:rsidTr="002810BF">
        <w:trPr>
          <w:cantSplit/>
          <w:trHeight w:val="6761"/>
        </w:trPr>
        <w:tc>
          <w:tcPr>
            <w:tcW w:w="1843" w:type="dxa"/>
            <w:shd w:val="clear" w:color="auto" w:fill="D9D9D9" w:themeFill="background1" w:themeFillShade="D9"/>
          </w:tcPr>
          <w:p w:rsidR="00804EEE" w:rsidRPr="00E675E8" w:rsidRDefault="00804EEE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GB" w:eastAsia="en-GB"/>
              </w:rPr>
              <w:lastRenderedPageBreak/>
              <w:t xml:space="preserve">10. </w:t>
            </w:r>
            <w:r w:rsidRPr="00E675E8">
              <w:rPr>
                <w:rFonts w:ascii="Arial" w:eastAsia="Times New Roman" w:hAnsi="Arial" w:cs="Arial"/>
                <w:szCs w:val="20"/>
                <w:lang w:val="en-GB" w:eastAsia="en-GB"/>
              </w:rPr>
              <w:t>Consider Creative Recovery opportunities when developing programs for local communities.</w:t>
            </w:r>
          </w:p>
        </w:tc>
        <w:tc>
          <w:tcPr>
            <w:tcW w:w="381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04EEE" w:rsidRPr="00836384" w:rsidRDefault="00804EEE" w:rsidP="00DE1B7B">
            <w:pPr>
              <w:ind w:left="-851"/>
              <w:rPr>
                <w:rFonts w:ascii="Arial" w:hAnsi="Arial" w:cs="Arial"/>
              </w:rPr>
            </w:pPr>
          </w:p>
        </w:tc>
      </w:tr>
      <w:tr w:rsidR="00C543CC" w:rsidRPr="00836384" w:rsidTr="002810BF">
        <w:trPr>
          <w:cantSplit/>
          <w:trHeight w:val="6619"/>
        </w:trPr>
        <w:tc>
          <w:tcPr>
            <w:tcW w:w="1843" w:type="dxa"/>
            <w:shd w:val="clear" w:color="auto" w:fill="D9D9D9" w:themeFill="background1" w:themeFillShade="D9"/>
          </w:tcPr>
          <w:p w:rsidR="00804EEE" w:rsidRPr="00E675E8" w:rsidRDefault="00804EEE" w:rsidP="002810BF">
            <w:pPr>
              <w:spacing w:before="106" w:after="240" w:line="252" w:lineRule="auto"/>
              <w:ind w:left="37"/>
              <w:rPr>
                <w:rFonts w:ascii="Arial" w:eastAsia="Times New Roman" w:hAnsi="Arial" w:cs="Arial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GB" w:eastAsia="en-GB"/>
              </w:rPr>
              <w:lastRenderedPageBreak/>
              <w:t xml:space="preserve">11. </w:t>
            </w:r>
            <w:r w:rsidRPr="00E675E8">
              <w:rPr>
                <w:rFonts w:ascii="Arial" w:eastAsia="Times New Roman" w:hAnsi="Arial" w:cs="Arial"/>
                <w:szCs w:val="20"/>
                <w:lang w:val="en-GB" w:eastAsia="en-GB"/>
              </w:rPr>
              <w:t>Provide broader community and regional visitors’ access to the arts in each local setting.</w:t>
            </w:r>
          </w:p>
        </w:tc>
        <w:tc>
          <w:tcPr>
            <w:tcW w:w="381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804EEE" w:rsidRPr="00836384" w:rsidRDefault="00804EEE" w:rsidP="002810BF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804EEE" w:rsidRPr="00836384" w:rsidRDefault="00804EEE" w:rsidP="00DE1B7B">
            <w:pPr>
              <w:ind w:left="-851"/>
              <w:rPr>
                <w:rFonts w:ascii="Arial" w:hAnsi="Arial" w:cs="Arial"/>
              </w:rPr>
            </w:pPr>
          </w:p>
        </w:tc>
      </w:tr>
    </w:tbl>
    <w:p w:rsidR="00CC0FC1" w:rsidRPr="00836384" w:rsidRDefault="00CC0FC1" w:rsidP="00DE1B7B">
      <w:pPr>
        <w:ind w:left="-851"/>
        <w:rPr>
          <w:rFonts w:ascii="Arial" w:hAnsi="Arial" w:cs="Arial"/>
        </w:rPr>
      </w:pPr>
    </w:p>
    <w:sectPr w:rsidR="00CC0FC1" w:rsidRPr="00836384" w:rsidSect="00507CAC">
      <w:headerReference w:type="default" r:id="rId8"/>
      <w:pgSz w:w="16838" w:h="11906" w:orient="landscape"/>
      <w:pgMar w:top="297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9A" w:rsidRDefault="0009729A" w:rsidP="00836384">
      <w:pPr>
        <w:spacing w:after="0" w:line="240" w:lineRule="auto"/>
      </w:pPr>
      <w:r>
        <w:separator/>
      </w:r>
    </w:p>
  </w:endnote>
  <w:endnote w:type="continuationSeparator" w:id="0">
    <w:p w:rsidR="0009729A" w:rsidRDefault="0009729A" w:rsidP="0083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9A" w:rsidRDefault="0009729A" w:rsidP="00836384">
      <w:pPr>
        <w:spacing w:after="0" w:line="240" w:lineRule="auto"/>
      </w:pPr>
      <w:r>
        <w:separator/>
      </w:r>
    </w:p>
  </w:footnote>
  <w:footnote w:type="continuationSeparator" w:id="0">
    <w:p w:rsidR="0009729A" w:rsidRDefault="0009729A" w:rsidP="0083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84" w:rsidRPr="00D6112D" w:rsidRDefault="00836384" w:rsidP="00836384">
    <w:pPr>
      <w:rPr>
        <w:color w:val="0E91D1"/>
        <w:spacing w:val="240"/>
        <w:sz w:val="56"/>
        <w:szCs w:val="56"/>
      </w:rPr>
    </w:pPr>
    <w:r w:rsidRPr="0089468A">
      <w:rPr>
        <w:noProof/>
        <w:sz w:val="14"/>
        <w:lang w:eastAsia="en-AU"/>
      </w:rPr>
      <w:drawing>
        <wp:anchor distT="0" distB="0" distL="114300" distR="114300" simplePos="0" relativeHeight="251660288" behindDoc="1" locked="0" layoutInCell="1" allowOverlap="1" wp14:anchorId="30EFA2C9" wp14:editId="7444C97D">
          <wp:simplePos x="0" y="0"/>
          <wp:positionH relativeFrom="column">
            <wp:posOffset>-2838450</wp:posOffset>
          </wp:positionH>
          <wp:positionV relativeFrom="paragraph">
            <wp:posOffset>237600</wp:posOffset>
          </wp:positionV>
          <wp:extent cx="7559675" cy="1009934"/>
          <wp:effectExtent l="57150" t="0" r="60325" b="11430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99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68A">
      <w:rPr>
        <w:noProof/>
        <w:sz w:val="14"/>
        <w:lang w:eastAsia="en-AU"/>
      </w:rPr>
      <w:drawing>
        <wp:anchor distT="0" distB="0" distL="114300" distR="114300" simplePos="0" relativeHeight="251659264" behindDoc="1" locked="0" layoutInCell="1" allowOverlap="1" wp14:anchorId="0DF2C3C3" wp14:editId="354CD35A">
          <wp:simplePos x="0" y="0"/>
          <wp:positionH relativeFrom="column">
            <wp:posOffset>7730054</wp:posOffset>
          </wp:positionH>
          <wp:positionV relativeFrom="paragraph">
            <wp:posOffset>-455020</wp:posOffset>
          </wp:positionV>
          <wp:extent cx="2014220" cy="1798320"/>
          <wp:effectExtent l="0" t="0" r="5080" b="0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179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68A" w:rsidRPr="0089468A">
      <w:rPr>
        <w:color w:val="0E91D1"/>
        <w:spacing w:val="240"/>
        <w:sz w:val="40"/>
        <w:szCs w:val="56"/>
      </w:rPr>
      <w:t xml:space="preserve">MOIRA </w:t>
    </w:r>
    <w:r w:rsidRPr="0089468A">
      <w:rPr>
        <w:color w:val="0E91D1"/>
        <w:spacing w:val="240"/>
        <w:sz w:val="40"/>
        <w:szCs w:val="56"/>
      </w:rPr>
      <w:t xml:space="preserve">CREATIVE </w:t>
    </w:r>
    <w:r w:rsidR="0089468A" w:rsidRPr="0089468A">
      <w:rPr>
        <w:color w:val="0E91D1"/>
        <w:spacing w:val="240"/>
        <w:sz w:val="40"/>
        <w:szCs w:val="56"/>
      </w:rPr>
      <w:t xml:space="preserve">ARTS </w:t>
    </w:r>
    <w:r w:rsidRPr="0089468A">
      <w:rPr>
        <w:color w:val="0E91D1"/>
        <w:spacing w:val="240"/>
        <w:sz w:val="40"/>
        <w:szCs w:val="56"/>
      </w:rPr>
      <w:t>HUBS</w:t>
    </w:r>
  </w:p>
  <w:p w:rsidR="00836384" w:rsidRPr="00D664A8" w:rsidRDefault="00836384" w:rsidP="00836384">
    <w:pPr>
      <w:pStyle w:val="Footer"/>
    </w:pPr>
  </w:p>
  <w:p w:rsidR="00836384" w:rsidRDefault="0089468A" w:rsidP="00836384">
    <w:pPr>
      <w:pStyle w:val="Header"/>
      <w:rPr>
        <w:b/>
        <w:color w:val="FFFFFF"/>
        <w:sz w:val="32"/>
        <w:szCs w:val="32"/>
      </w:rPr>
    </w:pPr>
    <w:r>
      <w:rPr>
        <w:b/>
        <w:color w:val="FFFFFF"/>
        <w:sz w:val="32"/>
        <w:szCs w:val="32"/>
      </w:rPr>
      <w:t>Year 1</w:t>
    </w:r>
    <w:r w:rsidR="00836384">
      <w:rPr>
        <w:b/>
        <w:color w:val="FFFFFF"/>
        <w:sz w:val="32"/>
        <w:szCs w:val="32"/>
      </w:rPr>
      <w:t xml:space="preserve"> Action Plan </w:t>
    </w:r>
  </w:p>
  <w:p w:rsidR="00836384" w:rsidRPr="00836384" w:rsidRDefault="00836384" w:rsidP="00836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7EE"/>
    <w:multiLevelType w:val="multilevel"/>
    <w:tmpl w:val="51D4B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59A726E"/>
    <w:multiLevelType w:val="hybridMultilevel"/>
    <w:tmpl w:val="2D207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4"/>
    <w:rsid w:val="000855B0"/>
    <w:rsid w:val="0009729A"/>
    <w:rsid w:val="001D58C5"/>
    <w:rsid w:val="002810BF"/>
    <w:rsid w:val="003B4ACF"/>
    <w:rsid w:val="00507CAC"/>
    <w:rsid w:val="00680FE9"/>
    <w:rsid w:val="007F10FF"/>
    <w:rsid w:val="00804EEE"/>
    <w:rsid w:val="00836384"/>
    <w:rsid w:val="0089468A"/>
    <w:rsid w:val="009258F2"/>
    <w:rsid w:val="00B07157"/>
    <w:rsid w:val="00B2541E"/>
    <w:rsid w:val="00C543CC"/>
    <w:rsid w:val="00CC0FC1"/>
    <w:rsid w:val="00DE1B7B"/>
    <w:rsid w:val="00E23E74"/>
    <w:rsid w:val="00E675E8"/>
    <w:rsid w:val="00E83E26"/>
    <w:rsid w:val="00E97983"/>
    <w:rsid w:val="00F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80A5"/>
  <w15:chartTrackingRefBased/>
  <w15:docId w15:val="{872FE742-77C6-4F8A-9B52-8FAB0CE7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84"/>
  </w:style>
  <w:style w:type="paragraph" w:styleId="Footer">
    <w:name w:val="footer"/>
    <w:basedOn w:val="Normal"/>
    <w:link w:val="FooterChar"/>
    <w:uiPriority w:val="99"/>
    <w:unhideWhenUsed/>
    <w:rsid w:val="0083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84"/>
  </w:style>
  <w:style w:type="table" w:styleId="TableGrid">
    <w:name w:val="Table Grid"/>
    <w:basedOn w:val="TableNormal"/>
    <w:uiPriority w:val="59"/>
    <w:rsid w:val="0083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38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7158-482A-4385-ACD1-5514792B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612</Words>
  <Characters>3101</Characters>
  <Application>Microsoft Office Word</Application>
  <DocSecurity>0</DocSecurity>
  <Lines>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McDonald</dc:creator>
  <cp:keywords/>
  <dc:description/>
  <cp:lastModifiedBy>Kristen Retallick</cp:lastModifiedBy>
  <cp:revision>7</cp:revision>
  <cp:lastPrinted>2023-05-01T23:53:00Z</cp:lastPrinted>
  <dcterms:created xsi:type="dcterms:W3CDTF">2023-05-01T23:25:00Z</dcterms:created>
  <dcterms:modified xsi:type="dcterms:W3CDTF">2023-06-02T05:56:00Z</dcterms:modified>
</cp:coreProperties>
</file>